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F4" w:rsidRPr="00666CAE" w:rsidRDefault="000778A9" w:rsidP="000778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666CAE">
        <w:rPr>
          <w:rFonts w:ascii="Times New Roman" w:hAnsi="Times New Roman" w:cs="Times New Roman"/>
          <w:b/>
          <w:bCs/>
          <w:sz w:val="32"/>
          <w:szCs w:val="24"/>
        </w:rPr>
        <w:t xml:space="preserve">EDUKACYJNA WARTOŚĆ DODANA 2014 </w:t>
      </w:r>
    </w:p>
    <w:p w:rsidR="00D61055" w:rsidRPr="00666CAE" w:rsidRDefault="00D61055" w:rsidP="00945E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66CAE">
        <w:rPr>
          <w:rFonts w:ascii="Times New Roman" w:hAnsi="Times New Roman" w:cs="Times New Roman"/>
          <w:b/>
          <w:bCs/>
          <w:sz w:val="28"/>
          <w:szCs w:val="24"/>
        </w:rPr>
        <w:t>Absolwenci  2014</w:t>
      </w:r>
      <w:r w:rsidRPr="00666CAE">
        <w:rPr>
          <w:rFonts w:ascii="Times New Roman" w:hAnsi="Times New Roman" w:cs="Times New Roman"/>
          <w:b/>
          <w:bCs/>
          <w:sz w:val="28"/>
          <w:szCs w:val="24"/>
        </w:rPr>
        <w:br/>
      </w:r>
      <w:r w:rsidR="000778A9" w:rsidRPr="00666CAE">
        <w:rPr>
          <w:rFonts w:ascii="Times New Roman" w:hAnsi="Times New Roman" w:cs="Times New Roman"/>
          <w:b/>
          <w:bCs/>
          <w:sz w:val="28"/>
          <w:szCs w:val="24"/>
        </w:rPr>
        <w:t>GIMNAZJUM NR 2 W ANDRYCHOWIE</w:t>
      </w:r>
    </w:p>
    <w:p w:rsidR="00945E30" w:rsidRPr="00945E30" w:rsidRDefault="00945E30" w:rsidP="00945E30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225F4" w:rsidRDefault="003225F4" w:rsidP="00445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055" w:rsidRPr="000778A9">
        <w:rPr>
          <w:rFonts w:ascii="Times New Roman" w:hAnsi="Times New Roman" w:cs="Times New Roman"/>
          <w:b/>
          <w:bCs/>
          <w:sz w:val="24"/>
          <w:szCs w:val="24"/>
        </w:rPr>
        <w:t xml:space="preserve">EWD </w:t>
      </w:r>
      <w:r w:rsidR="00D61055" w:rsidRPr="000778A9">
        <w:rPr>
          <w:rFonts w:ascii="Times New Roman" w:hAnsi="Times New Roman" w:cs="Times New Roman"/>
          <w:sz w:val="24"/>
          <w:szCs w:val="24"/>
        </w:rPr>
        <w:t>to różnica między wynikiem dziecka z testu na koniec szkoły podstawowej i wynikami egzaminu gimnazjalnego – jeżeli ma wartość dodatnią, to znaczy że w gimnazjum dzieci osiągnęły postęp, ich wiedza i umiejętności wzrosły. Jeżeli EWD jest ujemne – uczniowie przyszli z większymi wiadomościami i umiejętnościami ze szkoły podstawowej niż na koniec gimnazjum.</w:t>
      </w:r>
    </w:p>
    <w:p w:rsidR="00D61055" w:rsidRDefault="003225F4" w:rsidP="00445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61055" w:rsidRPr="000778A9">
        <w:rPr>
          <w:rFonts w:ascii="Times New Roman" w:hAnsi="Times New Roman" w:cs="Times New Roman"/>
          <w:sz w:val="24"/>
          <w:szCs w:val="24"/>
        </w:rPr>
        <w:t>Wyniki egzaminacyjne w każdym roku przeliczane są na wspólną skalę, tak by średnia krajowa wyniosła 100 punktów, a odchylenie standardowe wyniosło 15 punktó</w:t>
      </w:r>
      <w:r>
        <w:rPr>
          <w:rFonts w:ascii="Times New Roman" w:hAnsi="Times New Roman" w:cs="Times New Roman"/>
          <w:sz w:val="24"/>
          <w:szCs w:val="24"/>
        </w:rPr>
        <w:t xml:space="preserve">w. 100 to </w:t>
      </w:r>
      <w:r w:rsidR="00D61055" w:rsidRPr="000778A9">
        <w:rPr>
          <w:rFonts w:ascii="Times New Roman" w:hAnsi="Times New Roman" w:cs="Times New Roman"/>
          <w:sz w:val="24"/>
          <w:szCs w:val="24"/>
        </w:rPr>
        <w:t>zawsze wynik średni w kraju, 115 to wynik przewyższający przeciętną krajową o jed</w:t>
      </w:r>
      <w:r w:rsidR="00445F15">
        <w:rPr>
          <w:rFonts w:ascii="Times New Roman" w:hAnsi="Times New Roman" w:cs="Times New Roman"/>
          <w:sz w:val="24"/>
          <w:szCs w:val="24"/>
        </w:rPr>
        <w:t>no odchylenie standardowe. Taka </w:t>
      </w:r>
      <w:r w:rsidR="00D61055" w:rsidRPr="000778A9">
        <w:rPr>
          <w:rFonts w:ascii="Times New Roman" w:hAnsi="Times New Roman" w:cs="Times New Roman"/>
          <w:sz w:val="24"/>
          <w:szCs w:val="24"/>
        </w:rPr>
        <w:t>procedura umożliwia porównywanie wyników z różnych lat. W wypadku EWD ska</w:t>
      </w:r>
      <w:r>
        <w:rPr>
          <w:rFonts w:ascii="Times New Roman" w:hAnsi="Times New Roman" w:cs="Times New Roman"/>
          <w:sz w:val="24"/>
          <w:szCs w:val="24"/>
        </w:rPr>
        <w:t xml:space="preserve">la ma swój środek </w:t>
      </w:r>
      <w:r w:rsidR="00D61055" w:rsidRPr="000778A9">
        <w:rPr>
          <w:rFonts w:ascii="Times New Roman" w:hAnsi="Times New Roman" w:cs="Times New Roman"/>
          <w:sz w:val="24"/>
          <w:szCs w:val="24"/>
        </w:rPr>
        <w:t xml:space="preserve">w punkcie 0. Np. wynik EWD równy 5 </w:t>
      </w:r>
      <w:proofErr w:type="spellStart"/>
      <w:r w:rsidR="00D61055" w:rsidRPr="000778A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D61055" w:rsidRPr="000778A9">
        <w:rPr>
          <w:rFonts w:ascii="Times New Roman" w:hAnsi="Times New Roman" w:cs="Times New Roman"/>
          <w:sz w:val="24"/>
          <w:szCs w:val="24"/>
        </w:rPr>
        <w:t xml:space="preserve">, oznacza, że przeciętny uczeń tego gimnazjum otrzymał na egzaminie gimnazjalnym o 5 punktów więcej, niż by to wynikało z jego rezultatu na sprawdzianie po szkole podstawowej. </w:t>
      </w:r>
    </w:p>
    <w:p w:rsidR="00364752" w:rsidRPr="000778A9" w:rsidRDefault="00364752" w:rsidP="00445F15">
      <w:pPr>
        <w:jc w:val="both"/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b/>
          <w:bCs/>
          <w:sz w:val="24"/>
          <w:szCs w:val="24"/>
        </w:rPr>
        <w:t xml:space="preserve">1. Szkoły neutralne - </w:t>
      </w:r>
      <w:r w:rsidRPr="000778A9">
        <w:rPr>
          <w:rFonts w:ascii="Times New Roman" w:hAnsi="Times New Roman" w:cs="Times New Roman"/>
          <w:sz w:val="24"/>
          <w:szCs w:val="24"/>
        </w:rPr>
        <w:t xml:space="preserve">gimnazja, w których notujemy zarówno średni w skali kraju poziom wyników egzaminacyjnych, jak i przeciętną efektywność – uczniowie osiągają wyniki egzaminu gimnazjalnego na poziomie średniej krajowej, a wartość EWD jest bliska 0 – szkoła ani dzieci nie zmarnowała, ani wiele nie rozwinęła. </w:t>
      </w:r>
    </w:p>
    <w:p w:rsidR="00364752" w:rsidRPr="000778A9" w:rsidRDefault="00364752" w:rsidP="00445F15">
      <w:pPr>
        <w:jc w:val="both"/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b/>
          <w:bCs/>
          <w:sz w:val="24"/>
          <w:szCs w:val="24"/>
        </w:rPr>
        <w:t xml:space="preserve">2.  Szkoły sukcesu - </w:t>
      </w:r>
      <w:r w:rsidRPr="000778A9">
        <w:rPr>
          <w:rFonts w:ascii="Times New Roman" w:hAnsi="Times New Roman" w:cs="Times New Roman"/>
          <w:sz w:val="24"/>
          <w:szCs w:val="24"/>
        </w:rPr>
        <w:t xml:space="preserve">gimnazja o wysokich wynikach egzaminacyjnych i wysokiej efektywności nauczania – uczniowie osiągają wysokie wyniki egzaminu gimnazjalnego, a wartość EWD jest dodatnia (im więcej tym lepiej) – do szkoły przyszli dobrzy uczniowie, ale szkoła nie zmarnowała ich zdolności, lecz je rozwinęła. </w:t>
      </w:r>
    </w:p>
    <w:p w:rsidR="00364752" w:rsidRPr="000778A9" w:rsidRDefault="00364752" w:rsidP="00445F15">
      <w:pPr>
        <w:jc w:val="both"/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b/>
          <w:bCs/>
          <w:sz w:val="24"/>
          <w:szCs w:val="24"/>
        </w:rPr>
        <w:t xml:space="preserve">3. Szkoły wspierające - </w:t>
      </w:r>
      <w:r w:rsidRPr="000778A9">
        <w:rPr>
          <w:rFonts w:ascii="Times New Roman" w:hAnsi="Times New Roman" w:cs="Times New Roman"/>
          <w:sz w:val="24"/>
          <w:szCs w:val="24"/>
        </w:rPr>
        <w:t>gimnazja o niskich wynikach egzaminacyjnych, ale wysokiej efektywności – uczniowie słabo piszą egzaminy, ale osiągają wyniki lepsze niż na teście w szkole podstawowej – EWD powyżej 0 (szkoła „dostaje” słabych uczniów, ale czegoś ic</w:t>
      </w:r>
      <w:r w:rsidR="00445F15">
        <w:rPr>
          <w:rFonts w:ascii="Times New Roman" w:hAnsi="Times New Roman" w:cs="Times New Roman"/>
          <w:sz w:val="24"/>
          <w:szCs w:val="24"/>
        </w:rPr>
        <w:t>h nauczyła). Są to gimnazja, do </w:t>
      </w:r>
      <w:r w:rsidRPr="000778A9">
        <w:rPr>
          <w:rFonts w:ascii="Times New Roman" w:hAnsi="Times New Roman" w:cs="Times New Roman"/>
          <w:sz w:val="24"/>
          <w:szCs w:val="24"/>
        </w:rPr>
        <w:t>których najczęściej przyszli słabsi pod względem wyni</w:t>
      </w:r>
      <w:r w:rsidR="00445F15">
        <w:rPr>
          <w:rFonts w:ascii="Times New Roman" w:hAnsi="Times New Roman" w:cs="Times New Roman"/>
          <w:sz w:val="24"/>
          <w:szCs w:val="24"/>
        </w:rPr>
        <w:t>ków ze sprawdzianu uczniowie, a </w:t>
      </w:r>
      <w:r w:rsidRPr="000778A9">
        <w:rPr>
          <w:rFonts w:ascii="Times New Roman" w:hAnsi="Times New Roman" w:cs="Times New Roman"/>
          <w:sz w:val="24"/>
          <w:szCs w:val="24"/>
        </w:rPr>
        <w:t xml:space="preserve">intensywna praca zaowocowała znaczną efektywnością nauczania. </w:t>
      </w:r>
    </w:p>
    <w:p w:rsidR="00364752" w:rsidRPr="000778A9" w:rsidRDefault="00364752" w:rsidP="00445F15">
      <w:pPr>
        <w:jc w:val="both"/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b/>
          <w:bCs/>
          <w:sz w:val="24"/>
          <w:szCs w:val="24"/>
        </w:rPr>
        <w:t xml:space="preserve">4. Szkoły wymagające pomocy - </w:t>
      </w:r>
      <w:r w:rsidRPr="000778A9">
        <w:rPr>
          <w:rFonts w:ascii="Times New Roman" w:hAnsi="Times New Roman" w:cs="Times New Roman"/>
          <w:sz w:val="24"/>
          <w:szCs w:val="24"/>
        </w:rPr>
        <w:t>gimnazja o niskich wynikach egzaminacyjnych i niskiej efektywności nauczania uczniowie słabo piszą egzaminy (do szko</w:t>
      </w:r>
      <w:r w:rsidR="00445F15">
        <w:rPr>
          <w:rFonts w:ascii="Times New Roman" w:hAnsi="Times New Roman" w:cs="Times New Roman"/>
          <w:sz w:val="24"/>
          <w:szCs w:val="24"/>
        </w:rPr>
        <w:t>ły przyszli uczniowie słabi), a </w:t>
      </w:r>
      <w:r w:rsidRPr="000778A9">
        <w:rPr>
          <w:rFonts w:ascii="Times New Roman" w:hAnsi="Times New Roman" w:cs="Times New Roman"/>
          <w:sz w:val="24"/>
          <w:szCs w:val="24"/>
        </w:rPr>
        <w:t xml:space="preserve">szkoła niewiele ich nauczyła – wartość EWD poniżej 0. Są to gimnazja, do których przyszli słabsi pod względem wyników sprawdzianu uczniowie i w ciągu trzech lat gimnazjalnych nie uczynili postępu na miarę swoich możliwości. </w:t>
      </w:r>
    </w:p>
    <w:p w:rsidR="00364752" w:rsidRPr="000778A9" w:rsidRDefault="00364752" w:rsidP="00445F15">
      <w:pPr>
        <w:jc w:val="both"/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b/>
          <w:bCs/>
          <w:sz w:val="24"/>
          <w:szCs w:val="24"/>
        </w:rPr>
        <w:t xml:space="preserve">5. Szkoły niewykorzystanych możliwości - </w:t>
      </w:r>
      <w:r w:rsidRPr="000778A9">
        <w:rPr>
          <w:rFonts w:ascii="Times New Roman" w:hAnsi="Times New Roman" w:cs="Times New Roman"/>
          <w:sz w:val="24"/>
          <w:szCs w:val="24"/>
        </w:rPr>
        <w:t xml:space="preserve">gimnazja o wysokich wynikach egzaminacyjnych oraz niskiej efektywności nauczania – uczniowie piszą wyżej niż średnia krajowa egzaminy – szkoła dostaje względnie dobrych uczniów, ale nie poprawiła ich osiągnięć z podstawówki – wartość EWD poniżej 0. </w:t>
      </w:r>
    </w:p>
    <w:p w:rsidR="00364752" w:rsidRDefault="00364752" w:rsidP="00D61055">
      <w:pPr>
        <w:rPr>
          <w:rFonts w:ascii="Times New Roman" w:hAnsi="Times New Roman" w:cs="Times New Roman"/>
          <w:sz w:val="24"/>
          <w:szCs w:val="24"/>
        </w:rPr>
      </w:pPr>
    </w:p>
    <w:p w:rsidR="002D3BD3" w:rsidRDefault="002D3BD3" w:rsidP="00D61055">
      <w:pPr>
        <w:rPr>
          <w:rFonts w:ascii="Times New Roman" w:hAnsi="Times New Roman" w:cs="Times New Roman"/>
          <w:sz w:val="24"/>
          <w:szCs w:val="24"/>
        </w:rPr>
      </w:pPr>
    </w:p>
    <w:p w:rsidR="002D3BD3" w:rsidRPr="000778A9" w:rsidRDefault="002D3BD3" w:rsidP="00D61055">
      <w:pPr>
        <w:rPr>
          <w:rFonts w:ascii="Times New Roman" w:hAnsi="Times New Roman" w:cs="Times New Roman"/>
          <w:sz w:val="24"/>
          <w:szCs w:val="24"/>
        </w:rPr>
      </w:pPr>
    </w:p>
    <w:p w:rsidR="000778A9" w:rsidRPr="000778A9" w:rsidRDefault="00D61055" w:rsidP="003647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8A9">
        <w:rPr>
          <w:rFonts w:ascii="Times New Roman" w:hAnsi="Times New Roman" w:cs="Times New Roman"/>
          <w:b/>
          <w:bCs/>
          <w:sz w:val="24"/>
          <w:szCs w:val="24"/>
        </w:rPr>
        <w:lastRenderedPageBreak/>
        <w:t>WSKAŹNIKI TRZYLETNIE</w:t>
      </w:r>
      <w:r w:rsidR="000778A9" w:rsidRPr="00077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752">
        <w:rPr>
          <w:rFonts w:ascii="Times New Roman" w:hAnsi="Times New Roman" w:cs="Times New Roman"/>
          <w:b/>
          <w:bCs/>
          <w:sz w:val="24"/>
          <w:szCs w:val="24"/>
        </w:rPr>
        <w:t xml:space="preserve"> (2011 – </w:t>
      </w:r>
      <w:r w:rsidR="000778A9" w:rsidRPr="000778A9">
        <w:rPr>
          <w:rFonts w:ascii="Times New Roman" w:hAnsi="Times New Roman" w:cs="Times New Roman"/>
          <w:b/>
          <w:bCs/>
          <w:sz w:val="24"/>
          <w:szCs w:val="24"/>
        </w:rPr>
        <w:t xml:space="preserve"> 2014)</w:t>
      </w:r>
    </w:p>
    <w:p w:rsidR="002D3BD3" w:rsidRPr="002D3BD3" w:rsidRDefault="002D3BD3" w:rsidP="002D3B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Gimnazjum nr 2 w </w:t>
      </w:r>
      <w:r w:rsidRPr="000778A9">
        <w:rPr>
          <w:rFonts w:ascii="Times New Roman" w:hAnsi="Times New Roman" w:cs="Times New Roman"/>
          <w:b/>
          <w:bCs/>
          <w:sz w:val="24"/>
          <w:szCs w:val="24"/>
        </w:rPr>
        <w:t>Andrychowie</w:t>
      </w:r>
    </w:p>
    <w:p w:rsidR="00D61055" w:rsidRPr="000778A9" w:rsidRDefault="00D61055" w:rsidP="002D3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448175" cy="3228975"/>
            <wp:effectExtent l="1905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774" t="20297" r="16211" b="25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706" cy="322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55" w:rsidRPr="000778A9" w:rsidRDefault="00D61055">
      <w:pPr>
        <w:rPr>
          <w:rFonts w:ascii="Times New Roman" w:hAnsi="Times New Roman" w:cs="Times New Roman"/>
          <w:sz w:val="24"/>
          <w:szCs w:val="24"/>
        </w:rPr>
      </w:pPr>
    </w:p>
    <w:p w:rsidR="00D61055" w:rsidRPr="000778A9" w:rsidRDefault="000778A9">
      <w:pPr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3869469"/>
            <wp:effectExtent l="19050" t="0" r="0" b="0"/>
            <wp:docPr id="15" name="Obiekt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22606" cy="5859338"/>
                      <a:chOff x="179512" y="260648"/>
                      <a:chExt cx="8722606" cy="5859338"/>
                    </a:xfrm>
                  </a:grpSpPr>
                  <a:sp>
                    <a:nvSpPr>
                      <a:cNvPr id="2" name="Tytuł 1"/>
                      <a:cNvSpPr>
                        <a:spLocks noGrp="1"/>
                      </a:cNvSpPr>
                    </a:nvSpPr>
                    <a:spPr>
                      <a:xfrm>
                        <a:off x="1907704" y="260648"/>
                        <a:ext cx="5040560" cy="79208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pl-PL" sz="2000" b="1" dirty="0" smtClean="0">
                              <a:latin typeface="Arial" pitchFamily="34" charset="0"/>
                              <a:cs typeface="Arial" pitchFamily="34" charset="0"/>
                            </a:rPr>
                            <a:t>CZĘŚĆ HUMANISTYCZNA</a:t>
                          </a:r>
                          <a:endParaRPr lang="pl-PL" sz="2000" b="1" dirty="0"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2050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 cstate="print"/>
                      <a:srcRect t="6795"/>
                      <a:stretch>
                        <a:fillRect/>
                      </a:stretch>
                    </a:blipFill>
                    <a:spPr bwMode="auto">
                      <a:xfrm>
                        <a:off x="179512" y="1124744"/>
                        <a:ext cx="5472608" cy="49952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051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 t="5895"/>
                      <a:stretch>
                        <a:fillRect/>
                      </a:stretch>
                    </a:blipFill>
                    <a:spPr bwMode="auto">
                      <a:xfrm>
                        <a:off x="5940152" y="1124744"/>
                        <a:ext cx="2961966" cy="21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052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8" cstate="print"/>
                      <a:srcRect t="6729"/>
                      <a:stretch>
                        <a:fillRect/>
                      </a:stretch>
                    </a:blipFill>
                    <a:spPr bwMode="auto">
                      <a:xfrm>
                        <a:off x="5868144" y="3933056"/>
                        <a:ext cx="3011927" cy="21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p w:rsidR="000778A9" w:rsidRDefault="000778A9">
      <w:pPr>
        <w:rPr>
          <w:rFonts w:ascii="Times New Roman" w:hAnsi="Times New Roman" w:cs="Times New Roman"/>
          <w:sz w:val="24"/>
          <w:szCs w:val="24"/>
        </w:rPr>
      </w:pPr>
    </w:p>
    <w:p w:rsidR="00945E30" w:rsidRPr="000778A9" w:rsidRDefault="00945E30">
      <w:pPr>
        <w:rPr>
          <w:rFonts w:ascii="Times New Roman" w:hAnsi="Times New Roman" w:cs="Times New Roman"/>
          <w:sz w:val="24"/>
          <w:szCs w:val="24"/>
        </w:rPr>
      </w:pPr>
    </w:p>
    <w:p w:rsidR="000778A9" w:rsidRPr="000778A9" w:rsidRDefault="000778A9">
      <w:pPr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3833947"/>
            <wp:effectExtent l="19050" t="0" r="0" b="0"/>
            <wp:docPr id="16" name="Obiekt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56517" cy="5760640"/>
                      <a:chOff x="251520" y="260648"/>
                      <a:chExt cx="8656517" cy="5760640"/>
                    </a:xfrm>
                  </a:grpSpPr>
                  <a:sp>
                    <a:nvSpPr>
                      <a:cNvPr id="4" name="Tytuł 1"/>
                      <a:cNvSpPr>
                        <a:spLocks noGrp="1"/>
                      </a:cNvSpPr>
                    </a:nvSpPr>
                    <a:spPr>
                      <a:xfrm>
                        <a:off x="1331640" y="260648"/>
                        <a:ext cx="6048672" cy="79208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pl-PL" sz="2000" b="1" dirty="0" smtClean="0">
                              <a:latin typeface="Arial" pitchFamily="34" charset="0"/>
                              <a:cs typeface="Arial" pitchFamily="34" charset="0"/>
                            </a:rPr>
                            <a:t>CZĘŚĆ MATEMATYCZNO - PRZYRODNICZA</a:t>
                          </a:r>
                          <a:endParaRPr lang="pl-PL" sz="2000" b="1" dirty="0"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074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/>
                      <a:srcRect t="6640"/>
                      <a:stretch>
                        <a:fillRect/>
                      </a:stretch>
                    </a:blipFill>
                    <a:spPr bwMode="auto">
                      <a:xfrm>
                        <a:off x="251520" y="1052736"/>
                        <a:ext cx="5544616" cy="49685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075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10" cstate="print"/>
                      <a:srcRect t="6665"/>
                      <a:stretch>
                        <a:fillRect/>
                      </a:stretch>
                    </a:blipFill>
                    <a:spPr bwMode="auto">
                      <a:xfrm>
                        <a:off x="5940152" y="1052736"/>
                        <a:ext cx="2954636" cy="21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076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11" cstate="print"/>
                      <a:srcRect t="6665"/>
                      <a:stretch>
                        <a:fillRect/>
                      </a:stretch>
                    </a:blipFill>
                    <a:spPr bwMode="auto">
                      <a:xfrm>
                        <a:off x="5940152" y="3861048"/>
                        <a:ext cx="2967885" cy="21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p w:rsidR="000778A9" w:rsidRPr="000778A9" w:rsidRDefault="000778A9">
      <w:pPr>
        <w:rPr>
          <w:rFonts w:ascii="Times New Roman" w:hAnsi="Times New Roman" w:cs="Times New Roman"/>
          <w:sz w:val="24"/>
          <w:szCs w:val="24"/>
        </w:rPr>
      </w:pPr>
    </w:p>
    <w:p w:rsidR="000778A9" w:rsidRDefault="000778A9">
      <w:pPr>
        <w:rPr>
          <w:rFonts w:ascii="Times New Roman" w:hAnsi="Times New Roman" w:cs="Times New Roman"/>
          <w:sz w:val="24"/>
          <w:szCs w:val="24"/>
        </w:rPr>
      </w:pPr>
      <w:r w:rsidRPr="000778A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3933164"/>
            <wp:effectExtent l="19050" t="0" r="0" b="0"/>
            <wp:docPr id="17" name="Obiek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64488" cy="6120680"/>
                      <a:chOff x="179512" y="188640"/>
                      <a:chExt cx="8964488" cy="6120680"/>
                    </a:xfrm>
                  </a:grpSpPr>
                  <a:sp>
                    <a:nvSpPr>
                      <a:cNvPr id="2" name="Tytuł 1"/>
                      <a:cNvSpPr>
                        <a:spLocks noGrp="1"/>
                      </a:cNvSpPr>
                    </a:nvSpPr>
                    <a:spPr>
                      <a:xfrm>
                        <a:off x="395536" y="188640"/>
                        <a:ext cx="8229600" cy="8640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pl-PL" sz="2000" b="1" dirty="0">
                              <a:latin typeface="Arial" pitchFamily="34" charset="0"/>
                              <a:cs typeface="Arial" pitchFamily="34" charset="0"/>
                            </a:rPr>
                            <a:t>WSKAŹNIKI TRZYLETNIE </a:t>
                          </a:r>
                          <a:br>
                            <a:rPr lang="pl-PL" sz="2000" b="1" dirty="0">
                              <a:latin typeface="Arial" pitchFamily="34" charset="0"/>
                              <a:cs typeface="Arial" pitchFamily="34" charset="0"/>
                            </a:rPr>
                          </a:br>
                          <a:r>
                            <a:rPr lang="pl-PL" sz="2000" b="1" dirty="0" smtClean="0">
                              <a:latin typeface="Arial" pitchFamily="34" charset="0"/>
                              <a:cs typeface="Arial" pitchFamily="34" charset="0"/>
                            </a:rPr>
                            <a:t>PORÓWNANIE </a:t>
                          </a:r>
                          <a:r>
                            <a:rPr lang="pl-PL" sz="2000" b="1" dirty="0">
                              <a:latin typeface="Arial" pitchFamily="34" charset="0"/>
                              <a:cs typeface="Arial" pitchFamily="34" charset="0"/>
                            </a:rPr>
                            <a:t>CZTERECH OSTATNICH LAT</a:t>
                          </a:r>
                          <a:endParaRPr lang="pl-PL" sz="2000" dirty="0"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098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12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15616" y="1052736"/>
                        <a:ext cx="6315075" cy="413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099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13" cstate="print"/>
                      <a:srcRect t="32243" r="31231" b="31324"/>
                      <a:stretch>
                        <a:fillRect/>
                      </a:stretch>
                    </a:blipFill>
                    <a:spPr bwMode="auto">
                      <a:xfrm>
                        <a:off x="179512" y="5445224"/>
                        <a:ext cx="4427984" cy="8640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13" cstate="print"/>
                      <a:srcRect t="65640" r="31231"/>
                      <a:stretch>
                        <a:fillRect/>
                      </a:stretch>
                    </a:blipFill>
                    <a:spPr bwMode="auto">
                      <a:xfrm>
                        <a:off x="4716016" y="5445224"/>
                        <a:ext cx="4427984" cy="8149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p w:rsidR="002D3BD3" w:rsidRPr="002D3BD3" w:rsidRDefault="00AC6BB2" w:rsidP="00697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</w:t>
      </w:r>
      <w:r w:rsidR="002D3BD3" w:rsidRPr="002D3BD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643D4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:rsidR="000643D4" w:rsidRPr="000B0BFF" w:rsidRDefault="000643D4" w:rsidP="0069737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BFF">
        <w:rPr>
          <w:rFonts w:ascii="Times New Roman" w:hAnsi="Times New Roman" w:cs="Times New Roman"/>
          <w:sz w:val="24"/>
          <w:szCs w:val="24"/>
        </w:rPr>
        <w:t>Trzyletnie wskaźniki egzaminacyjne dla gimnazjów umiejscawiają naszą szkołę w obszarze</w:t>
      </w:r>
      <w:r w:rsidRPr="000B0BFF">
        <w:rPr>
          <w:rFonts w:ascii="Times New Roman" w:hAnsi="Times New Roman" w:cs="Times New Roman"/>
          <w:b/>
          <w:sz w:val="24"/>
          <w:szCs w:val="24"/>
        </w:rPr>
        <w:t xml:space="preserve"> szkół sukcesu.</w:t>
      </w:r>
    </w:p>
    <w:p w:rsidR="002D3BD3" w:rsidRDefault="002D3BD3" w:rsidP="00103B5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BFF">
        <w:rPr>
          <w:rFonts w:ascii="Times New Roman" w:hAnsi="Times New Roman" w:cs="Times New Roman"/>
          <w:sz w:val="24"/>
          <w:szCs w:val="24"/>
        </w:rPr>
        <w:t xml:space="preserve">Na obydwu wykresach </w:t>
      </w:r>
      <w:r w:rsidRPr="000B0BFF">
        <w:rPr>
          <w:rFonts w:ascii="Times New Roman" w:hAnsi="Times New Roman" w:cs="Times New Roman"/>
          <w:b/>
          <w:sz w:val="24"/>
          <w:szCs w:val="24"/>
        </w:rPr>
        <w:t>wskaźniki EWD</w:t>
      </w:r>
      <w:r w:rsidRPr="000B0BFF">
        <w:rPr>
          <w:rFonts w:ascii="Times New Roman" w:hAnsi="Times New Roman" w:cs="Times New Roman"/>
          <w:sz w:val="24"/>
          <w:szCs w:val="24"/>
        </w:rPr>
        <w:t xml:space="preserve"> na przełomie lat 20</w:t>
      </w:r>
      <w:r w:rsidR="00EE49F3" w:rsidRPr="000B0BFF">
        <w:rPr>
          <w:rFonts w:ascii="Times New Roman" w:hAnsi="Times New Roman" w:cs="Times New Roman"/>
          <w:sz w:val="24"/>
          <w:szCs w:val="24"/>
        </w:rPr>
        <w:t xml:space="preserve">09 – </w:t>
      </w:r>
      <w:r w:rsidR="00AC6BB2" w:rsidRPr="000B0BFF">
        <w:rPr>
          <w:rFonts w:ascii="Times New Roman" w:hAnsi="Times New Roman" w:cs="Times New Roman"/>
          <w:sz w:val="24"/>
          <w:szCs w:val="24"/>
        </w:rPr>
        <w:t>2014</w:t>
      </w:r>
      <w:r w:rsidRPr="000B0BFF">
        <w:rPr>
          <w:rFonts w:ascii="Times New Roman" w:hAnsi="Times New Roman" w:cs="Times New Roman"/>
          <w:sz w:val="24"/>
          <w:szCs w:val="24"/>
        </w:rPr>
        <w:t>, zarówno w części humanistycznej jak</w:t>
      </w:r>
      <w:r w:rsidR="00AC6BB2" w:rsidRPr="000B0BFF">
        <w:rPr>
          <w:rFonts w:ascii="Times New Roman" w:hAnsi="Times New Roman" w:cs="Times New Roman"/>
          <w:sz w:val="24"/>
          <w:szCs w:val="24"/>
        </w:rPr>
        <w:t xml:space="preserve"> i matematyczno – przyrodniczej </w:t>
      </w:r>
      <w:r w:rsidR="00AC6BB2" w:rsidRPr="000B0BFF">
        <w:rPr>
          <w:rFonts w:ascii="Times New Roman" w:hAnsi="Times New Roman" w:cs="Times New Roman"/>
          <w:b/>
          <w:sz w:val="24"/>
          <w:szCs w:val="24"/>
        </w:rPr>
        <w:t>mają tendencję wzrostową.</w:t>
      </w:r>
    </w:p>
    <w:p w:rsidR="0069737D" w:rsidRPr="000B0BFF" w:rsidRDefault="0069737D" w:rsidP="00103B5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Nasze gimnazjum w obu częściach egzaminu gimnazjalnego miało wartość dodatnią EWD z egzaminu w 2014 roku.</w:t>
      </w:r>
    </w:p>
    <w:p w:rsidR="000643D4" w:rsidRPr="00AC2CDD" w:rsidRDefault="000643D4" w:rsidP="00AC6BB2">
      <w:pPr>
        <w:pStyle w:val="Akapitzlist"/>
        <w:rPr>
          <w:rFonts w:ascii="Times New Roman" w:hAnsi="Times New Roman" w:cs="Times New Roman"/>
          <w:sz w:val="28"/>
          <w:szCs w:val="24"/>
        </w:rPr>
      </w:pPr>
    </w:p>
    <w:sectPr w:rsidR="000643D4" w:rsidRPr="00AC2CDD" w:rsidSect="002D3BD3">
      <w:pgSz w:w="11906" w:h="16838"/>
      <w:pgMar w:top="993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3AE9"/>
    <w:multiLevelType w:val="hybridMultilevel"/>
    <w:tmpl w:val="5C36D7E0"/>
    <w:lvl w:ilvl="0" w:tplc="6A968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A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08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4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0D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29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4D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6F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1D3657"/>
    <w:multiLevelType w:val="hybridMultilevel"/>
    <w:tmpl w:val="E81E661E"/>
    <w:lvl w:ilvl="0" w:tplc="F97EF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6C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46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25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6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44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67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C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25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B85312"/>
    <w:multiLevelType w:val="hybridMultilevel"/>
    <w:tmpl w:val="360CF31C"/>
    <w:lvl w:ilvl="0" w:tplc="54469C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27E78"/>
    <w:multiLevelType w:val="hybridMultilevel"/>
    <w:tmpl w:val="494EA33A"/>
    <w:lvl w:ilvl="0" w:tplc="54469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A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AF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6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4B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A3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27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C1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E9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1041E1"/>
    <w:multiLevelType w:val="hybridMultilevel"/>
    <w:tmpl w:val="4C52602A"/>
    <w:lvl w:ilvl="0" w:tplc="96EA2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86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03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60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40F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A0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48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81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C2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2E3872"/>
    <w:multiLevelType w:val="hybridMultilevel"/>
    <w:tmpl w:val="4732D7EE"/>
    <w:lvl w:ilvl="0" w:tplc="54469C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86497"/>
    <w:multiLevelType w:val="hybridMultilevel"/>
    <w:tmpl w:val="9C560260"/>
    <w:lvl w:ilvl="0" w:tplc="5AB09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A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EF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0E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07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C6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8E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9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08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055"/>
    <w:rsid w:val="0000265E"/>
    <w:rsid w:val="000643D4"/>
    <w:rsid w:val="000778A9"/>
    <w:rsid w:val="0009036B"/>
    <w:rsid w:val="000B0BFF"/>
    <w:rsid w:val="00103B52"/>
    <w:rsid w:val="001C402F"/>
    <w:rsid w:val="00207296"/>
    <w:rsid w:val="002D3BD3"/>
    <w:rsid w:val="003225F4"/>
    <w:rsid w:val="003254FA"/>
    <w:rsid w:val="00364752"/>
    <w:rsid w:val="00445F15"/>
    <w:rsid w:val="00486197"/>
    <w:rsid w:val="00666CAE"/>
    <w:rsid w:val="0069737D"/>
    <w:rsid w:val="00760CCB"/>
    <w:rsid w:val="008A138C"/>
    <w:rsid w:val="008B0DAA"/>
    <w:rsid w:val="008B3CE9"/>
    <w:rsid w:val="00945E30"/>
    <w:rsid w:val="00A205D0"/>
    <w:rsid w:val="00AC2CDD"/>
    <w:rsid w:val="00AC6BB2"/>
    <w:rsid w:val="00BF6B1F"/>
    <w:rsid w:val="00C46CD5"/>
    <w:rsid w:val="00C57A3D"/>
    <w:rsid w:val="00D34489"/>
    <w:rsid w:val="00D61055"/>
    <w:rsid w:val="00D85613"/>
    <w:rsid w:val="00EE49F3"/>
    <w:rsid w:val="00F6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0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SekretariatGIM</cp:lastModifiedBy>
  <cp:revision>7</cp:revision>
  <dcterms:created xsi:type="dcterms:W3CDTF">2015-03-04T09:17:00Z</dcterms:created>
  <dcterms:modified xsi:type="dcterms:W3CDTF">2015-03-04T13:34:00Z</dcterms:modified>
</cp:coreProperties>
</file>